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1453B" w14:textId="77777777" w:rsidR="00F633F1" w:rsidRPr="00376A8A" w:rsidRDefault="00F633F1" w:rsidP="00CE32B8">
      <w:pPr>
        <w:rPr>
          <w:i/>
          <w:sz w:val="28"/>
          <w:szCs w:val="24"/>
          <w:u w:val="single"/>
        </w:rPr>
      </w:pPr>
      <w:bookmarkStart w:id="0" w:name="_GoBack"/>
      <w:bookmarkEnd w:id="0"/>
      <w:r w:rsidRPr="00376A8A">
        <w:rPr>
          <w:i/>
          <w:sz w:val="28"/>
          <w:szCs w:val="24"/>
          <w:u w:val="single"/>
        </w:rPr>
        <w:t xml:space="preserve">PJM and MISO Response to </w:t>
      </w:r>
      <w:r w:rsidR="000B1A55" w:rsidRPr="00376A8A">
        <w:rPr>
          <w:i/>
          <w:sz w:val="28"/>
          <w:szCs w:val="24"/>
          <w:u w:val="single"/>
        </w:rPr>
        <w:t xml:space="preserve">Potomac Economics </w:t>
      </w:r>
      <w:r w:rsidRPr="00376A8A">
        <w:rPr>
          <w:i/>
          <w:sz w:val="28"/>
          <w:szCs w:val="24"/>
          <w:u w:val="single"/>
        </w:rPr>
        <w:t xml:space="preserve">Observations on M2M </w:t>
      </w:r>
      <w:r w:rsidR="00D462F2" w:rsidRPr="00376A8A">
        <w:rPr>
          <w:i/>
          <w:sz w:val="28"/>
          <w:szCs w:val="24"/>
          <w:u w:val="single"/>
        </w:rPr>
        <w:t>Coordination</w:t>
      </w:r>
    </w:p>
    <w:p w14:paraId="1BB9B204" w14:textId="14C6CE5F" w:rsidR="00C17FC0" w:rsidRPr="00376A8A" w:rsidRDefault="00CE32B8" w:rsidP="00CE32B8">
      <w:pPr>
        <w:rPr>
          <w:sz w:val="24"/>
          <w:szCs w:val="28"/>
        </w:rPr>
      </w:pPr>
      <w:r w:rsidRPr="00376A8A">
        <w:rPr>
          <w:sz w:val="24"/>
          <w:szCs w:val="28"/>
        </w:rPr>
        <w:t xml:space="preserve">In November of 2017, </w:t>
      </w:r>
      <w:r w:rsidR="00723009" w:rsidRPr="00376A8A">
        <w:rPr>
          <w:sz w:val="24"/>
          <w:szCs w:val="28"/>
        </w:rPr>
        <w:t xml:space="preserve">Potomac Economics </w:t>
      </w:r>
      <w:r w:rsidR="00E96050" w:rsidRPr="00376A8A">
        <w:rPr>
          <w:sz w:val="24"/>
          <w:szCs w:val="28"/>
        </w:rPr>
        <w:t xml:space="preserve">notified </w:t>
      </w:r>
      <w:r w:rsidRPr="00376A8A">
        <w:rPr>
          <w:sz w:val="24"/>
          <w:szCs w:val="28"/>
        </w:rPr>
        <w:t xml:space="preserve">the PJM-MISO Joint Stakeholder Group and subsequently the MISO board of </w:t>
      </w:r>
      <w:r w:rsidR="00D462F2" w:rsidRPr="00376A8A">
        <w:rPr>
          <w:sz w:val="24"/>
          <w:szCs w:val="28"/>
        </w:rPr>
        <w:t xml:space="preserve">two </w:t>
      </w:r>
      <w:r w:rsidRPr="00376A8A">
        <w:rPr>
          <w:sz w:val="24"/>
          <w:szCs w:val="28"/>
        </w:rPr>
        <w:t xml:space="preserve">potential violations in the </w:t>
      </w:r>
      <w:r w:rsidR="00723009" w:rsidRPr="00376A8A">
        <w:rPr>
          <w:sz w:val="24"/>
          <w:szCs w:val="28"/>
        </w:rPr>
        <w:t>PJM-MISO</w:t>
      </w:r>
      <w:r w:rsidR="00A017BB">
        <w:rPr>
          <w:sz w:val="24"/>
          <w:szCs w:val="28"/>
        </w:rPr>
        <w:t xml:space="preserve"> JOA</w:t>
      </w:r>
      <w:r w:rsidR="00376A8A">
        <w:rPr>
          <w:sz w:val="24"/>
          <w:szCs w:val="28"/>
        </w:rPr>
        <w:t xml:space="preserve">.  </w:t>
      </w:r>
      <w:r w:rsidRPr="00376A8A">
        <w:rPr>
          <w:sz w:val="24"/>
          <w:szCs w:val="28"/>
        </w:rPr>
        <w:t xml:space="preserve">In particular, the MISO IMM claimed the following: </w:t>
      </w:r>
    </w:p>
    <w:p w14:paraId="3DEF052A" w14:textId="77777777" w:rsidR="000F42E2" w:rsidRPr="00376A8A" w:rsidRDefault="000F42E2" w:rsidP="00376A8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eastAsiaTheme="minorHAnsi"/>
          <w:sz w:val="24"/>
          <w:szCs w:val="28"/>
        </w:rPr>
      </w:pPr>
      <w:r w:rsidRPr="00376A8A">
        <w:rPr>
          <w:rFonts w:eastAsiaTheme="minorHAnsi"/>
          <w:sz w:val="24"/>
          <w:szCs w:val="28"/>
        </w:rPr>
        <w:t xml:space="preserve">PJM has not implemented a key test </w:t>
      </w:r>
      <w:r w:rsidR="00376A8A" w:rsidRPr="00376A8A">
        <w:rPr>
          <w:rFonts w:eastAsiaTheme="minorHAnsi"/>
          <w:sz w:val="24"/>
          <w:szCs w:val="28"/>
        </w:rPr>
        <w:t>(Study 1)</w:t>
      </w:r>
      <w:r w:rsidR="00376A8A">
        <w:rPr>
          <w:rFonts w:eastAsiaTheme="minorHAnsi"/>
          <w:sz w:val="24"/>
          <w:szCs w:val="28"/>
        </w:rPr>
        <w:t xml:space="preserve"> </w:t>
      </w:r>
      <w:r w:rsidRPr="00376A8A">
        <w:rPr>
          <w:rFonts w:eastAsiaTheme="minorHAnsi"/>
          <w:sz w:val="24"/>
          <w:szCs w:val="28"/>
        </w:rPr>
        <w:t xml:space="preserve">under the JOA to identify new M2M constraints, which </w:t>
      </w:r>
      <w:r w:rsidR="004C1CE0">
        <w:rPr>
          <w:rFonts w:eastAsiaTheme="minorHAnsi"/>
          <w:sz w:val="24"/>
          <w:szCs w:val="28"/>
        </w:rPr>
        <w:t>the IMM</w:t>
      </w:r>
      <w:r w:rsidR="004C1CE0" w:rsidRPr="00376A8A">
        <w:rPr>
          <w:rFonts w:eastAsiaTheme="minorHAnsi"/>
          <w:sz w:val="24"/>
          <w:szCs w:val="28"/>
        </w:rPr>
        <w:t xml:space="preserve"> </w:t>
      </w:r>
      <w:r w:rsidRPr="00376A8A">
        <w:rPr>
          <w:rFonts w:eastAsiaTheme="minorHAnsi"/>
          <w:sz w:val="24"/>
          <w:szCs w:val="28"/>
        </w:rPr>
        <w:t>believe</w:t>
      </w:r>
      <w:r w:rsidR="004C1CE0">
        <w:rPr>
          <w:rFonts w:eastAsiaTheme="minorHAnsi"/>
          <w:sz w:val="24"/>
          <w:szCs w:val="28"/>
        </w:rPr>
        <w:t>s</w:t>
      </w:r>
      <w:r w:rsidRPr="00376A8A">
        <w:rPr>
          <w:rFonts w:eastAsiaTheme="minorHAnsi"/>
          <w:sz w:val="24"/>
          <w:szCs w:val="28"/>
        </w:rPr>
        <w:t xml:space="preserve"> is a tariff violation (see the CMP Section 3.2.1). This test identifies constraints affected by the neighbor’s generators based on real-time system topology – hence, constraints affected by transmission outages were not properly evaluated. </w:t>
      </w:r>
    </w:p>
    <w:p w14:paraId="15A60190" w14:textId="77777777" w:rsidR="00F633F1" w:rsidRPr="00376A8A" w:rsidRDefault="00D462F2" w:rsidP="00376A8A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8"/>
        </w:rPr>
      </w:pPr>
      <w:r w:rsidRPr="00376A8A">
        <w:rPr>
          <w:sz w:val="24"/>
          <w:szCs w:val="28"/>
        </w:rPr>
        <w:t>For TLR purposes, PJM calculation of the relief provided by its market re-dispatch from PJM generators below the 5% OATI IDC cutoff has been incorrect since 2009.</w:t>
      </w:r>
    </w:p>
    <w:p w14:paraId="1C96BAF8" w14:textId="77777777" w:rsidR="00376A8A" w:rsidRPr="00376A8A" w:rsidRDefault="00C17FC0" w:rsidP="00376A8A">
      <w:pPr>
        <w:rPr>
          <w:sz w:val="24"/>
          <w:szCs w:val="28"/>
        </w:rPr>
      </w:pPr>
      <w:r w:rsidRPr="00376A8A">
        <w:rPr>
          <w:sz w:val="24"/>
          <w:szCs w:val="28"/>
        </w:rPr>
        <w:t xml:space="preserve">PJM and MISO have coordinated an analysis to </w:t>
      </w:r>
      <w:r w:rsidR="00376A8A">
        <w:rPr>
          <w:sz w:val="24"/>
          <w:szCs w:val="28"/>
        </w:rPr>
        <w:t>investigate these claims and</w:t>
      </w:r>
      <w:r w:rsidRPr="00376A8A">
        <w:rPr>
          <w:sz w:val="24"/>
          <w:szCs w:val="28"/>
        </w:rPr>
        <w:t xml:space="preserve"> what impacts ma</w:t>
      </w:r>
      <w:r w:rsidR="00D462F2" w:rsidRPr="00376A8A">
        <w:rPr>
          <w:sz w:val="24"/>
          <w:szCs w:val="28"/>
        </w:rPr>
        <w:t>y have been associated with the</w:t>
      </w:r>
      <w:r w:rsidR="004C1CE0">
        <w:rPr>
          <w:sz w:val="24"/>
          <w:szCs w:val="28"/>
        </w:rPr>
        <w:t>m</w:t>
      </w:r>
      <w:r w:rsidRPr="00376A8A">
        <w:rPr>
          <w:sz w:val="24"/>
          <w:szCs w:val="28"/>
        </w:rPr>
        <w:t>.</w:t>
      </w:r>
      <w:r w:rsidR="00192CA2" w:rsidRPr="00376A8A">
        <w:rPr>
          <w:sz w:val="24"/>
          <w:szCs w:val="28"/>
        </w:rPr>
        <w:t xml:space="preserve"> </w:t>
      </w:r>
      <w:r w:rsidR="00095216" w:rsidRPr="00376A8A">
        <w:rPr>
          <w:sz w:val="24"/>
          <w:szCs w:val="28"/>
        </w:rPr>
        <w:t xml:space="preserve">The result of the analysis confirmed that there was minimal </w:t>
      </w:r>
      <w:r w:rsidR="004C1CE0">
        <w:rPr>
          <w:sz w:val="24"/>
          <w:szCs w:val="28"/>
        </w:rPr>
        <w:t>and</w:t>
      </w:r>
      <w:r w:rsidR="00AB0CC4">
        <w:rPr>
          <w:sz w:val="24"/>
          <w:szCs w:val="28"/>
        </w:rPr>
        <w:t>/or</w:t>
      </w:r>
      <w:r w:rsidR="004C1CE0">
        <w:rPr>
          <w:sz w:val="24"/>
          <w:szCs w:val="28"/>
        </w:rPr>
        <w:t xml:space="preserve"> undeterminable </w:t>
      </w:r>
      <w:r w:rsidR="00095216" w:rsidRPr="00376A8A">
        <w:rPr>
          <w:sz w:val="24"/>
          <w:szCs w:val="28"/>
        </w:rPr>
        <w:t>impact</w:t>
      </w:r>
      <w:r w:rsidR="00376A8A" w:rsidRPr="00376A8A">
        <w:rPr>
          <w:sz w:val="24"/>
          <w:szCs w:val="28"/>
        </w:rPr>
        <w:t xml:space="preserve"> as described below. Additionally, both issues have been resolved.</w:t>
      </w:r>
    </w:p>
    <w:p w14:paraId="29E7C41E" w14:textId="30CC7EF2" w:rsidR="00A017BB" w:rsidRPr="00A017BB" w:rsidRDefault="00376A8A" w:rsidP="00F633F1">
      <w:pPr>
        <w:spacing w:line="240" w:lineRule="auto"/>
        <w:rPr>
          <w:sz w:val="24"/>
          <w:szCs w:val="28"/>
          <w:u w:val="single"/>
        </w:rPr>
      </w:pPr>
      <w:r w:rsidRPr="00A017BB">
        <w:rPr>
          <w:sz w:val="24"/>
          <w:szCs w:val="28"/>
          <w:u w:val="single"/>
        </w:rPr>
        <w:t>Study 1</w:t>
      </w:r>
      <w:r w:rsidR="00A017BB">
        <w:rPr>
          <w:sz w:val="24"/>
          <w:szCs w:val="28"/>
          <w:u w:val="single"/>
        </w:rPr>
        <w:t>Test</w:t>
      </w:r>
    </w:p>
    <w:p w14:paraId="5D8F84C6" w14:textId="50BBC4E4" w:rsidR="00095216" w:rsidRPr="00376A8A" w:rsidRDefault="00DB27A0" w:rsidP="00F633F1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Based on after the fact analysis, </w:t>
      </w:r>
      <w:r w:rsidR="00A017BB">
        <w:rPr>
          <w:sz w:val="24"/>
          <w:szCs w:val="28"/>
        </w:rPr>
        <w:t xml:space="preserve">only </w:t>
      </w:r>
      <w:r>
        <w:rPr>
          <w:sz w:val="24"/>
          <w:szCs w:val="28"/>
        </w:rPr>
        <w:t>t</w:t>
      </w:r>
      <w:r w:rsidR="00211B35" w:rsidRPr="00376A8A">
        <w:rPr>
          <w:sz w:val="24"/>
          <w:szCs w:val="28"/>
        </w:rPr>
        <w:t xml:space="preserve">wo </w:t>
      </w:r>
      <w:r w:rsidR="00095216" w:rsidRPr="00376A8A">
        <w:rPr>
          <w:sz w:val="24"/>
          <w:szCs w:val="28"/>
        </w:rPr>
        <w:t xml:space="preserve">potential flowgates </w:t>
      </w:r>
      <w:r>
        <w:rPr>
          <w:sz w:val="24"/>
          <w:szCs w:val="28"/>
        </w:rPr>
        <w:t>requested by</w:t>
      </w:r>
      <w:r w:rsidRPr="00376A8A">
        <w:rPr>
          <w:sz w:val="24"/>
          <w:szCs w:val="28"/>
        </w:rPr>
        <w:t xml:space="preserve"> MISO </w:t>
      </w:r>
      <w:r>
        <w:rPr>
          <w:sz w:val="24"/>
          <w:szCs w:val="28"/>
        </w:rPr>
        <w:t>for</w:t>
      </w:r>
      <w:r w:rsidRPr="00376A8A">
        <w:rPr>
          <w:sz w:val="24"/>
          <w:szCs w:val="28"/>
        </w:rPr>
        <w:t xml:space="preserve"> testing </w:t>
      </w:r>
      <w:r w:rsidR="00095216" w:rsidRPr="00376A8A">
        <w:rPr>
          <w:i/>
          <w:sz w:val="24"/>
          <w:szCs w:val="28"/>
          <w:u w:val="single"/>
        </w:rPr>
        <w:t>may</w:t>
      </w:r>
      <w:r w:rsidR="00095216" w:rsidRPr="00376A8A">
        <w:rPr>
          <w:sz w:val="24"/>
          <w:szCs w:val="28"/>
        </w:rPr>
        <w:t xml:space="preserve"> have qualified </w:t>
      </w:r>
      <w:r>
        <w:rPr>
          <w:sz w:val="24"/>
          <w:szCs w:val="28"/>
        </w:rPr>
        <w:t>under</w:t>
      </w:r>
      <w:r w:rsidRPr="00376A8A">
        <w:rPr>
          <w:sz w:val="24"/>
          <w:szCs w:val="28"/>
        </w:rPr>
        <w:t xml:space="preserve"> </w:t>
      </w:r>
      <w:r w:rsidR="00095216" w:rsidRPr="00376A8A">
        <w:rPr>
          <w:sz w:val="24"/>
          <w:szCs w:val="28"/>
        </w:rPr>
        <w:t xml:space="preserve">the Study 1 test that did not qualify under the Study 2 thru Study </w:t>
      </w:r>
      <w:r w:rsidR="00A825DA" w:rsidRPr="00376A8A">
        <w:rPr>
          <w:sz w:val="24"/>
          <w:szCs w:val="28"/>
        </w:rPr>
        <w:t xml:space="preserve">4 </w:t>
      </w:r>
      <w:r w:rsidR="00095216" w:rsidRPr="00376A8A">
        <w:rPr>
          <w:sz w:val="24"/>
          <w:szCs w:val="28"/>
        </w:rPr>
        <w:t>tests</w:t>
      </w:r>
      <w:r w:rsidR="000B1A55" w:rsidRPr="00376A8A">
        <w:rPr>
          <w:sz w:val="24"/>
          <w:szCs w:val="28"/>
        </w:rPr>
        <w:t>.</w:t>
      </w:r>
      <w:r w:rsidR="00211B35" w:rsidRPr="00376A8A">
        <w:rPr>
          <w:sz w:val="24"/>
          <w:szCs w:val="28"/>
        </w:rPr>
        <w:t xml:space="preserve"> System conditions that represent the two potential flowgates cannot be </w:t>
      </w:r>
      <w:r w:rsidR="00717448" w:rsidRPr="00376A8A">
        <w:rPr>
          <w:sz w:val="24"/>
          <w:szCs w:val="28"/>
        </w:rPr>
        <w:t xml:space="preserve">fully </w:t>
      </w:r>
      <w:r w:rsidR="00211B35" w:rsidRPr="00376A8A">
        <w:rPr>
          <w:sz w:val="24"/>
          <w:szCs w:val="28"/>
        </w:rPr>
        <w:t xml:space="preserve">duplicated and therefore the </w:t>
      </w:r>
      <w:r w:rsidR="00577DF3">
        <w:rPr>
          <w:sz w:val="24"/>
          <w:szCs w:val="28"/>
        </w:rPr>
        <w:t xml:space="preserve">actual </w:t>
      </w:r>
      <w:r w:rsidR="00211B35" w:rsidRPr="00376A8A">
        <w:rPr>
          <w:sz w:val="24"/>
          <w:szCs w:val="28"/>
        </w:rPr>
        <w:t>impacts, if any, of these two flo</w:t>
      </w:r>
      <w:r w:rsidR="00717448" w:rsidRPr="00376A8A">
        <w:rPr>
          <w:sz w:val="24"/>
          <w:szCs w:val="28"/>
        </w:rPr>
        <w:t>w</w:t>
      </w:r>
      <w:r w:rsidR="00211B35" w:rsidRPr="00376A8A">
        <w:rPr>
          <w:sz w:val="24"/>
          <w:szCs w:val="28"/>
        </w:rPr>
        <w:t xml:space="preserve">gates cannot be confirmed.  However, </w:t>
      </w:r>
      <w:r w:rsidR="00A017BB">
        <w:rPr>
          <w:sz w:val="24"/>
          <w:szCs w:val="28"/>
        </w:rPr>
        <w:t>the estimated PJM impact was minimal</w:t>
      </w:r>
      <w:r w:rsidR="00A017BB">
        <w:rPr>
          <w:rStyle w:val="FootnoteReference"/>
          <w:sz w:val="24"/>
          <w:szCs w:val="28"/>
        </w:rPr>
        <w:footnoteReference w:id="1"/>
      </w:r>
      <w:r w:rsidR="00A017BB">
        <w:rPr>
          <w:sz w:val="24"/>
          <w:szCs w:val="28"/>
        </w:rPr>
        <w:t xml:space="preserve">. </w:t>
      </w:r>
      <w:r w:rsidR="00717448" w:rsidRPr="00376A8A">
        <w:rPr>
          <w:sz w:val="24"/>
          <w:szCs w:val="28"/>
        </w:rPr>
        <w:t>Therefore</w:t>
      </w:r>
      <w:r w:rsidR="00211B35" w:rsidRPr="00376A8A">
        <w:rPr>
          <w:sz w:val="24"/>
          <w:szCs w:val="28"/>
        </w:rPr>
        <w:t>, because of the minimal impact, PJM and MISO consider this investigation closed at this time.</w:t>
      </w:r>
      <w:r w:rsidR="00376A8A" w:rsidRPr="00376A8A">
        <w:rPr>
          <w:sz w:val="24"/>
          <w:szCs w:val="28"/>
        </w:rPr>
        <w:t xml:space="preserve"> Additionally, PJM does not believe any JOA violations occurred.</w:t>
      </w:r>
    </w:p>
    <w:p w14:paraId="3DDD7241" w14:textId="07BD2A18" w:rsidR="00A017BB" w:rsidRPr="00A017BB" w:rsidRDefault="00376A8A" w:rsidP="00376A8A">
      <w:pPr>
        <w:rPr>
          <w:sz w:val="24"/>
          <w:szCs w:val="28"/>
          <w:u w:val="single"/>
        </w:rPr>
      </w:pPr>
      <w:r w:rsidRPr="00A017BB">
        <w:rPr>
          <w:sz w:val="24"/>
          <w:szCs w:val="28"/>
          <w:u w:val="single"/>
        </w:rPr>
        <w:t>TL</w:t>
      </w:r>
      <w:r w:rsidR="00A017BB" w:rsidRPr="00A017BB">
        <w:rPr>
          <w:sz w:val="24"/>
          <w:szCs w:val="28"/>
          <w:u w:val="single"/>
        </w:rPr>
        <w:t>R Market Flow Relief Obligation</w:t>
      </w:r>
    </w:p>
    <w:p w14:paraId="65E5811C" w14:textId="680CF054" w:rsidR="00376A8A" w:rsidRPr="00BA4D30" w:rsidRDefault="00376A8A" w:rsidP="00376A8A">
      <w:r w:rsidRPr="00376A8A">
        <w:rPr>
          <w:sz w:val="24"/>
          <w:szCs w:val="28"/>
        </w:rPr>
        <w:t>PJM investigated and found an incorrect line of code resulted in under-reporting of available market flow to the IDC under TLR-3b only</w:t>
      </w:r>
      <w:r w:rsidR="00A017BB">
        <w:rPr>
          <w:sz w:val="24"/>
          <w:szCs w:val="28"/>
        </w:rPr>
        <w:t xml:space="preserve"> events</w:t>
      </w:r>
      <w:r w:rsidRPr="00376A8A">
        <w:rPr>
          <w:sz w:val="24"/>
          <w:szCs w:val="28"/>
        </w:rPr>
        <w:t xml:space="preserve">. </w:t>
      </w:r>
      <w:r w:rsidR="00A017BB">
        <w:rPr>
          <w:sz w:val="24"/>
          <w:szCs w:val="28"/>
        </w:rPr>
        <w:t xml:space="preserve"> PJM </w:t>
      </w:r>
      <w:r w:rsidRPr="00376A8A">
        <w:rPr>
          <w:sz w:val="24"/>
          <w:szCs w:val="28"/>
        </w:rPr>
        <w:t>submitt</w:t>
      </w:r>
      <w:r w:rsidR="00A017BB">
        <w:rPr>
          <w:sz w:val="24"/>
          <w:szCs w:val="28"/>
        </w:rPr>
        <w:t>ed</w:t>
      </w:r>
      <w:r w:rsidRPr="00376A8A">
        <w:rPr>
          <w:sz w:val="24"/>
          <w:szCs w:val="28"/>
        </w:rPr>
        <w:t xml:space="preserve"> a self-report to FERC for this event as the issue violated Section 5.5 of the Congestion Management Process (CMP) agreement</w:t>
      </w:r>
      <w:r w:rsidR="00A017BB">
        <w:rPr>
          <w:sz w:val="24"/>
          <w:szCs w:val="28"/>
        </w:rPr>
        <w:t>,</w:t>
      </w:r>
      <w:r w:rsidRPr="00376A8A">
        <w:rPr>
          <w:sz w:val="24"/>
          <w:szCs w:val="28"/>
        </w:rPr>
        <w:t xml:space="preserve"> which is part of the PJM/MISO JOA.  PJM is also conducting an</w:t>
      </w:r>
      <w:r w:rsidR="00A017BB">
        <w:rPr>
          <w:sz w:val="24"/>
          <w:szCs w:val="28"/>
        </w:rPr>
        <w:t xml:space="preserve"> internal</w:t>
      </w:r>
      <w:r w:rsidRPr="00376A8A">
        <w:rPr>
          <w:sz w:val="24"/>
          <w:szCs w:val="28"/>
        </w:rPr>
        <w:t xml:space="preserve"> Apparent Cause Analysis (ACA) for the event in order to determine root causes, develop recommendations, and implement process updates designed to help avoid a reoccurrence in the future. PJM and MISO believe that these occurrences</w:t>
      </w:r>
      <w:r w:rsidR="004C1CE0">
        <w:rPr>
          <w:sz w:val="24"/>
          <w:szCs w:val="28"/>
        </w:rPr>
        <w:t xml:space="preserve"> are </w:t>
      </w:r>
      <w:r w:rsidRPr="00376A8A">
        <w:rPr>
          <w:sz w:val="24"/>
          <w:szCs w:val="28"/>
        </w:rPr>
        <w:t>limited to TLR-3b events only</w:t>
      </w:r>
      <w:r w:rsidR="00AB0CC4">
        <w:rPr>
          <w:sz w:val="24"/>
          <w:szCs w:val="28"/>
        </w:rPr>
        <w:t xml:space="preserve">, and their potential market impacts </w:t>
      </w:r>
      <w:r w:rsidR="009B1726">
        <w:rPr>
          <w:sz w:val="24"/>
          <w:szCs w:val="28"/>
        </w:rPr>
        <w:t>cannot be retroactively determined</w:t>
      </w:r>
      <w:r w:rsidR="004C1CE0">
        <w:rPr>
          <w:sz w:val="24"/>
          <w:szCs w:val="28"/>
        </w:rPr>
        <w:t xml:space="preserve">.  </w:t>
      </w:r>
      <w:r w:rsidR="007C7271">
        <w:rPr>
          <w:sz w:val="24"/>
          <w:szCs w:val="28"/>
        </w:rPr>
        <w:t xml:space="preserve">Importantly, system operations aligned with prices.  </w:t>
      </w:r>
      <w:r w:rsidR="00AB0CC4">
        <w:rPr>
          <w:sz w:val="24"/>
          <w:szCs w:val="28"/>
        </w:rPr>
        <w:t>Additionally, t</w:t>
      </w:r>
      <w:r w:rsidR="004C1CE0">
        <w:rPr>
          <w:sz w:val="24"/>
          <w:szCs w:val="28"/>
        </w:rPr>
        <w:t xml:space="preserve">he CMP/JOA does not provide guidance on resettlement opportunities related to TLR activities.  </w:t>
      </w:r>
      <w:r w:rsidR="004C1CE0" w:rsidRPr="00376A8A" w:rsidDel="004C1CE0">
        <w:rPr>
          <w:sz w:val="24"/>
          <w:szCs w:val="28"/>
        </w:rPr>
        <w:t xml:space="preserve"> </w:t>
      </w:r>
    </w:p>
    <w:sectPr w:rsidR="00376A8A" w:rsidRPr="00BA4D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624B4" w14:textId="77777777" w:rsidR="00A46C73" w:rsidRDefault="00A46C73" w:rsidP="00DC117B">
      <w:pPr>
        <w:spacing w:after="0" w:line="240" w:lineRule="auto"/>
      </w:pPr>
      <w:r>
        <w:separator/>
      </w:r>
    </w:p>
  </w:endnote>
  <w:endnote w:type="continuationSeparator" w:id="0">
    <w:p w14:paraId="531E6B87" w14:textId="77777777" w:rsidR="00A46C73" w:rsidRDefault="00A46C73" w:rsidP="00DC1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B80E6" w14:textId="77777777" w:rsidR="00821789" w:rsidRDefault="008217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A48EF" w14:textId="77777777" w:rsidR="00821789" w:rsidRDefault="008217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06C08" w14:textId="77777777" w:rsidR="00821789" w:rsidRDefault="00821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A98D5" w14:textId="77777777" w:rsidR="00A46C73" w:rsidRDefault="00A46C73" w:rsidP="00DC117B">
      <w:pPr>
        <w:spacing w:after="0" w:line="240" w:lineRule="auto"/>
      </w:pPr>
      <w:r>
        <w:separator/>
      </w:r>
    </w:p>
  </w:footnote>
  <w:footnote w:type="continuationSeparator" w:id="0">
    <w:p w14:paraId="22C54D93" w14:textId="77777777" w:rsidR="00A46C73" w:rsidRDefault="00A46C73" w:rsidP="00DC117B">
      <w:pPr>
        <w:spacing w:after="0" w:line="240" w:lineRule="auto"/>
      </w:pPr>
      <w:r>
        <w:continuationSeparator/>
      </w:r>
    </w:p>
  </w:footnote>
  <w:footnote w:id="1">
    <w:p w14:paraId="6C3C504B" w14:textId="5464BD8C" w:rsidR="00A017BB" w:rsidRDefault="00A017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24"/>
          <w:szCs w:val="28"/>
        </w:rPr>
        <w:t>Potential</w:t>
      </w:r>
      <w:r w:rsidRPr="00376A8A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JOA settlement impacts </w:t>
      </w:r>
      <w:r w:rsidRPr="00376A8A">
        <w:rPr>
          <w:sz w:val="24"/>
          <w:szCs w:val="28"/>
        </w:rPr>
        <w:t xml:space="preserve">associated with these flowgates </w:t>
      </w:r>
      <w:r>
        <w:rPr>
          <w:sz w:val="24"/>
          <w:szCs w:val="28"/>
        </w:rPr>
        <w:t>was less than $</w:t>
      </w:r>
      <w:r w:rsidR="006A0FB6">
        <w:rPr>
          <w:sz w:val="24"/>
          <w:szCs w:val="28"/>
        </w:rPr>
        <w:t>1</w:t>
      </w:r>
      <w:r>
        <w:rPr>
          <w:sz w:val="24"/>
          <w:szCs w:val="28"/>
        </w:rPr>
        <w:t>00,000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E7613" w14:textId="77777777" w:rsidR="00821789" w:rsidRDefault="008217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26E18" w14:textId="77777777" w:rsidR="00821789" w:rsidRDefault="008217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B5C9B" w14:textId="77777777" w:rsidR="00821789" w:rsidRDefault="008217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F4301"/>
    <w:multiLevelType w:val="hybridMultilevel"/>
    <w:tmpl w:val="7F123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AB76F"/>
    <w:multiLevelType w:val="hybridMultilevel"/>
    <w:tmpl w:val="673006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5360495"/>
    <w:multiLevelType w:val="hybridMultilevel"/>
    <w:tmpl w:val="D338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B7902"/>
    <w:multiLevelType w:val="hybridMultilevel"/>
    <w:tmpl w:val="F68E2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55F53"/>
    <w:multiLevelType w:val="hybridMultilevel"/>
    <w:tmpl w:val="714A9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B8"/>
    <w:rsid w:val="00001A99"/>
    <w:rsid w:val="0003103A"/>
    <w:rsid w:val="00075217"/>
    <w:rsid w:val="00095216"/>
    <w:rsid w:val="00096AE1"/>
    <w:rsid w:val="000B1A55"/>
    <w:rsid w:val="000C2930"/>
    <w:rsid w:val="000F42E2"/>
    <w:rsid w:val="00116599"/>
    <w:rsid w:val="00147ADE"/>
    <w:rsid w:val="001565B7"/>
    <w:rsid w:val="00192CA2"/>
    <w:rsid w:val="00211B35"/>
    <w:rsid w:val="00261DCF"/>
    <w:rsid w:val="002A360D"/>
    <w:rsid w:val="003048A8"/>
    <w:rsid w:val="003366AA"/>
    <w:rsid w:val="00346E8C"/>
    <w:rsid w:val="00376A8A"/>
    <w:rsid w:val="003F3E2F"/>
    <w:rsid w:val="00451C47"/>
    <w:rsid w:val="004803D8"/>
    <w:rsid w:val="004C1CE0"/>
    <w:rsid w:val="00577DF3"/>
    <w:rsid w:val="005F04CF"/>
    <w:rsid w:val="0066470E"/>
    <w:rsid w:val="00672042"/>
    <w:rsid w:val="006A0FB6"/>
    <w:rsid w:val="006A44B9"/>
    <w:rsid w:val="006F54B3"/>
    <w:rsid w:val="00717448"/>
    <w:rsid w:val="00723009"/>
    <w:rsid w:val="00751377"/>
    <w:rsid w:val="00752575"/>
    <w:rsid w:val="00782588"/>
    <w:rsid w:val="007C7271"/>
    <w:rsid w:val="00821789"/>
    <w:rsid w:val="008644F3"/>
    <w:rsid w:val="00874415"/>
    <w:rsid w:val="008E2B34"/>
    <w:rsid w:val="00933DD9"/>
    <w:rsid w:val="009B1726"/>
    <w:rsid w:val="009F2147"/>
    <w:rsid w:val="00A0125B"/>
    <w:rsid w:val="00A017BB"/>
    <w:rsid w:val="00A46C73"/>
    <w:rsid w:val="00A825DA"/>
    <w:rsid w:val="00AA2BD9"/>
    <w:rsid w:val="00AB0CC4"/>
    <w:rsid w:val="00B62211"/>
    <w:rsid w:val="00BA4D30"/>
    <w:rsid w:val="00C17FC0"/>
    <w:rsid w:val="00CA41CF"/>
    <w:rsid w:val="00CE32B8"/>
    <w:rsid w:val="00CE3FC2"/>
    <w:rsid w:val="00D462F2"/>
    <w:rsid w:val="00D712F8"/>
    <w:rsid w:val="00DB27A0"/>
    <w:rsid w:val="00DC117B"/>
    <w:rsid w:val="00DD2459"/>
    <w:rsid w:val="00E70EF7"/>
    <w:rsid w:val="00E73F2A"/>
    <w:rsid w:val="00E96050"/>
    <w:rsid w:val="00F633F1"/>
    <w:rsid w:val="00F9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C1592"/>
  <w15:docId w15:val="{106A6AF4-0E63-49E1-A2AF-70C141A4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2B8"/>
    <w:rPr>
      <w:rFonts w:ascii="Arial Narrow" w:eastAsia="Calibri" w:hAnsi="Arial Narrow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basedOn w:val="Normal"/>
    <w:qFormat/>
    <w:rsid w:val="00CE32B8"/>
    <w:pPr>
      <w:spacing w:after="0" w:line="240" w:lineRule="auto"/>
    </w:pPr>
    <w:rPr>
      <w:rFonts w:cs="Arial"/>
      <w:sz w:val="20"/>
    </w:rPr>
  </w:style>
  <w:style w:type="paragraph" w:customStyle="1" w:styleId="Default">
    <w:name w:val="Default"/>
    <w:rsid w:val="00CE32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A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4F3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3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F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FC2"/>
    <w:rPr>
      <w:rFonts w:ascii="Arial Narrow" w:eastAsia="Calibri" w:hAnsi="Arial Narro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F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FC2"/>
    <w:rPr>
      <w:rFonts w:ascii="Arial Narrow" w:eastAsia="Calibri" w:hAnsi="Arial Narrow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C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17B"/>
    <w:rPr>
      <w:rFonts w:ascii="Arial Narrow" w:eastAsia="Calibri" w:hAnsi="Arial Narrow" w:cs="Times New Roman"/>
    </w:rPr>
  </w:style>
  <w:style w:type="paragraph" w:styleId="Footer">
    <w:name w:val="footer"/>
    <w:basedOn w:val="Normal"/>
    <w:link w:val="FooterChar"/>
    <w:uiPriority w:val="99"/>
    <w:unhideWhenUsed/>
    <w:rsid w:val="00DC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17B"/>
    <w:rPr>
      <w:rFonts w:ascii="Arial Narrow" w:eastAsia="Calibri" w:hAnsi="Arial Narrow" w:cs="Times New Roman"/>
    </w:rPr>
  </w:style>
  <w:style w:type="paragraph" w:styleId="Revision">
    <w:name w:val="Revision"/>
    <w:hidden/>
    <w:uiPriority w:val="99"/>
    <w:semiHidden/>
    <w:rsid w:val="00A0125B"/>
    <w:pPr>
      <w:spacing w:after="0" w:line="240" w:lineRule="auto"/>
    </w:pPr>
    <w:rPr>
      <w:rFonts w:ascii="Arial Narrow" w:eastAsia="Calibri" w:hAnsi="Arial Narrow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12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25B"/>
    <w:rPr>
      <w:rFonts w:ascii="Arial Narrow" w:eastAsia="Calibri" w:hAnsi="Arial Narrow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2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42951-44B6-4720-A9CD-CCA0452BD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Andrew Witmeier</dc:creator>
  <cp:keywords>
  </cp:keywords>
  <dc:description>
  </dc:description>
  <cp:lastModifiedBy>Andrew Witmeier</cp:lastModifiedBy>
  <cp:revision>3</cp:revision>
  <dcterms:created xsi:type="dcterms:W3CDTF">2018-05-23T15:18:00Z</dcterms:created>
  <dcterms:modified xsi:type="dcterms:W3CDTF">2018-05-23T15:25:00Z</dcterms:modified>
</cp:coreProperties>
</file>